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826150" w:rsidRDefault="00871568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826150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5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826150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826150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826150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826150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826150" w:rsidRPr="00826150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5488E633" w:rsidR="007F0297" w:rsidRPr="00826150" w:rsidRDefault="001F6E9C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8261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09CA29F5" w:rsidR="007F0297" w:rsidRPr="00826150" w:rsidRDefault="007F0297" w:rsidP="001F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1F6E9C" w:rsidRPr="008261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46-12</w:t>
            </w:r>
          </w:p>
        </w:tc>
      </w:tr>
    </w:tbl>
    <w:p w14:paraId="68EFAAC8" w14:textId="77777777" w:rsidR="007F0297" w:rsidRPr="00826150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826150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6B85C94A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3E141C"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</w:t>
      </w:r>
      <w:r w:rsidR="003E141C"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поселок Репино</w:t>
      </w:r>
      <w:r w:rsidR="008B3A90"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 созыва</w:t>
      </w:r>
    </w:p>
    <w:p w14:paraId="6BAC1861" w14:textId="77777777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10952BD4" w:rsidR="007F0297" w:rsidRPr="00826150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1F6E9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основании решения Территориальной избирательной комиссии №13 от 20 июня 2024 года № 46-2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Санкт-Петербурга поселок Репино седьмого созыва на Территориальную избирательную комиссию № 13», </w:t>
      </w:r>
      <w:r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Территориальная избирательная комиссия№ </w:t>
      </w:r>
      <w:r w:rsidR="00723337"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82615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826150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6F0E3FC6" w:rsidR="007F0297" w:rsidRPr="00826150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3B778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 поселок Репино</w:t>
      </w:r>
      <w:r w:rsidR="008B3A9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8B3A90"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82615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5C9C5B8" w:rsidR="007F0297" w:rsidRPr="00826150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062E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826150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82615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6F8D3515" w14:textId="77777777" w:rsidR="001F6E9C" w:rsidRPr="00826150" w:rsidRDefault="001F6E9C" w:rsidP="001F6E9C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480794FC" w14:textId="77777777" w:rsidR="001F6E9C" w:rsidRPr="00826150" w:rsidRDefault="001F6E9C" w:rsidP="001F6E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1284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  <w:gridCol w:w="3160"/>
      </w:tblGrid>
      <w:tr w:rsidR="00826150" w:rsidRPr="00826150" w14:paraId="4EBC0100" w14:textId="569A12D4" w:rsidTr="001F6E9C">
        <w:tc>
          <w:tcPr>
            <w:tcW w:w="5280" w:type="dxa"/>
          </w:tcPr>
          <w:p w14:paraId="436F5E00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30D167B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  <w:tc>
          <w:tcPr>
            <w:tcW w:w="3160" w:type="dxa"/>
          </w:tcPr>
          <w:p w14:paraId="6FD135BD" w14:textId="77777777" w:rsidR="001F6E9C" w:rsidRPr="00826150" w:rsidRDefault="001F6E9C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14:paraId="4179E59D" w14:textId="77777777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826150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07273011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hAnsi="Times New Roman" w:cs="Times New Roman"/>
          <w:sz w:val="24"/>
          <w:szCs w:val="24"/>
        </w:rPr>
        <w:t xml:space="preserve">от </w:t>
      </w:r>
      <w:r w:rsidR="001F6E9C" w:rsidRPr="00826150">
        <w:rPr>
          <w:rFonts w:ascii="Times New Roman" w:hAnsi="Times New Roman" w:cs="Times New Roman"/>
          <w:sz w:val="24"/>
          <w:szCs w:val="24"/>
        </w:rPr>
        <w:t>20</w:t>
      </w:r>
      <w:r w:rsidRPr="00826150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1F6E9C" w:rsidRPr="00826150">
        <w:rPr>
          <w:rFonts w:ascii="Times New Roman" w:hAnsi="Times New Roman" w:cs="Times New Roman"/>
          <w:sz w:val="24"/>
          <w:szCs w:val="24"/>
        </w:rPr>
        <w:t>46-12</w:t>
      </w:r>
    </w:p>
    <w:p w14:paraId="15E6AB0F" w14:textId="77777777" w:rsidR="007F0297" w:rsidRPr="00826150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50579A29" w:rsidR="007F0297" w:rsidRPr="00826150" w:rsidRDefault="007F0297" w:rsidP="001F6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6150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826150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3B7789" w:rsidRPr="00826150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Санкт-Петербурга</w:t>
      </w:r>
      <w:r w:rsidR="003B7789" w:rsidRPr="00826150">
        <w:rPr>
          <w:rFonts w:ascii="Times New Roman" w:eastAsia="Calibri" w:hAnsi="Times New Roman" w:cs="Times New Roman"/>
          <w:b/>
          <w:sz w:val="28"/>
          <w:szCs w:val="28"/>
        </w:rPr>
        <w:br/>
        <w:t>поселок Репино</w:t>
      </w:r>
      <w:r w:rsidR="00A4062E" w:rsidRPr="008261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B3A90" w:rsidRPr="00826150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826150" w:rsidRDefault="00D4023E" w:rsidP="001F6E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826150" w:rsidRDefault="002530E1" w:rsidP="001F6E9C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26150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826150" w:rsidRDefault="00D4023E" w:rsidP="001F6E9C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после письме</w:t>
      </w:r>
      <w:bookmarkStart w:id="0" w:name="_GoBack"/>
      <w:bookmarkEnd w:id="0"/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уведомления окружной избирательной комиссии </w:t>
      </w:r>
      <w:r w:rsidR="000C3D2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826150" w:rsidRDefault="00141F66" w:rsidP="001F6E9C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826150" w:rsidRDefault="002530E1" w:rsidP="001F6E9C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826150" w:rsidRDefault="00141F66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826150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826150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826150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826150" w:rsidRDefault="00141F66" w:rsidP="001F6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826150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826150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826150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826150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826150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826150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826150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8261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826150" w:rsidRDefault="00B818B8" w:rsidP="001F6E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826150" w:rsidRDefault="002530E1" w:rsidP="001F6E9C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26150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826150" w:rsidRDefault="009A1452" w:rsidP="001F6E9C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781CF6C0" w14:textId="77777777" w:rsidR="00826150" w:rsidRPr="00826150" w:rsidRDefault="00826150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D1522" w14:textId="5F3E510D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собственных средств кандидата</w:t>
      </w:r>
      <w:r w:rsidR="002B346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826150" w:rsidRDefault="00F812CC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826150" w:rsidRDefault="00F812CC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2.3. 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826150" w:rsidRDefault="00F812CC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826150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826150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826150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826150" w:rsidRDefault="000C3D20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826150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826150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826150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826150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826150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150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826150" w:rsidRDefault="000C3D20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826150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826150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t xml:space="preserve"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</w:t>
      </w:r>
      <w:r w:rsidR="00057A00" w:rsidRPr="00826150">
        <w:rPr>
          <w:rFonts w:ascii="Times New Roman" w:eastAsia="Calibri" w:hAnsi="Times New Roman" w:cs="Times New Roman"/>
          <w:sz w:val="28"/>
          <w:szCs w:val="28"/>
        </w:rPr>
        <w:lastRenderedPageBreak/>
        <w:t>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826150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826150">
        <w:rPr>
          <w:rFonts w:ascii="Times New Roman" w:hAnsi="Times New Roman" w:cs="Times New Roman"/>
          <w:sz w:val="28"/>
          <w:szCs w:val="28"/>
        </w:rPr>
        <w:t>,</w:t>
      </w:r>
      <w:r w:rsidR="003E6647" w:rsidRPr="00826150">
        <w:rPr>
          <w:rFonts w:ascii="Times New Roman" w:hAnsi="Times New Roman" w:cs="Times New Roman"/>
          <w:sz w:val="28"/>
          <w:szCs w:val="28"/>
        </w:rPr>
        <w:br/>
      </w:r>
      <w:r w:rsidR="00057A00" w:rsidRPr="00826150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826150">
        <w:rPr>
          <w:rFonts w:ascii="Times New Roman" w:hAnsi="Times New Roman" w:cs="Times New Roman"/>
          <w:sz w:val="28"/>
          <w:szCs w:val="28"/>
        </w:rPr>
        <w:br/>
      </w:r>
      <w:r w:rsidR="00057A00" w:rsidRPr="00826150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826150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826150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82615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826150" w:rsidRDefault="000C391B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826150" w:rsidRDefault="000C391B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826150" w:rsidRDefault="000C391B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видам работ (услуг), порядка оплаты</w:t>
      </w:r>
      <w:r w:rsidR="00981A7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826150" w:rsidRDefault="00E64114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826150" w:rsidRDefault="006D3CE0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826150" w:rsidRDefault="006D3CE0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826150" w:rsidRDefault="006D3CE0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теле</w:t>
      </w:r>
      <w:r w:rsidR="00A7454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826150" w:rsidRDefault="00B14F80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826150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826150">
        <w:rPr>
          <w:rFonts w:ascii="Times New Roman" w:hAnsi="Times New Roman" w:cs="Times New Roman"/>
          <w:sz w:val="28"/>
          <w:szCs w:val="28"/>
        </w:rPr>
        <w:br/>
      </w:r>
      <w:r w:rsidRPr="00826150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826150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826150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826150" w:rsidRDefault="001D18F4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8261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826150" w:rsidRDefault="00A74541" w:rsidP="001F6E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 в установленном порядке в организацию телерадиовещания, редакцию периодического печатного издания,</w:t>
      </w:r>
      <w:r w:rsidR="00981A7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826150" w:rsidRDefault="006D3CE0" w:rsidP="001F6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826150" w:rsidRDefault="002530E1" w:rsidP="001F6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826150" w:rsidRDefault="002530E1" w:rsidP="001F6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826150">
        <w:rPr>
          <w:rFonts w:ascii="Times New Roman" w:eastAsia="Calibri" w:hAnsi="Times New Roman" w:cs="Times New Roman"/>
          <w:sz w:val="28"/>
          <w:szCs w:val="28"/>
        </w:rPr>
        <w:t>.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826150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2954B285" w:rsidR="00320A3B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826150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826150" w:rsidRPr="00826150">
        <w:rPr>
          <w:rFonts w:ascii="Times New Roman" w:hAnsi="Times New Roman" w:cs="Times New Roman"/>
          <w:sz w:val="28"/>
          <w:szCs w:val="28"/>
        </w:rPr>
        <w:t xml:space="preserve"> </w:t>
      </w:r>
      <w:r w:rsidR="003659B5" w:rsidRPr="00826150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0A330A8E" w14:textId="77777777" w:rsidR="00826150" w:rsidRPr="00826150" w:rsidRDefault="00826150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15AA1" w14:textId="77777777" w:rsidR="00826150" w:rsidRPr="00826150" w:rsidRDefault="00826150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41539" w14:textId="36E6322E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C125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826150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826150" w:rsidRDefault="00981A76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826150" w:rsidRDefault="002530E1" w:rsidP="001F6E9C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26150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826150" w:rsidRDefault="0066431A" w:rsidP="001F6E9C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826150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8261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826150" w:rsidRDefault="00CC3A5F" w:rsidP="001F6E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826150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826150">
        <w:rPr>
          <w:rFonts w:ascii="Times New Roman" w:hAnsi="Times New Roman" w:cs="Times New Roman"/>
          <w:sz w:val="28"/>
          <w:szCs w:val="28"/>
        </w:rPr>
        <w:br/>
      </w:r>
      <w:r w:rsidR="00EB24A6" w:rsidRPr="00826150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826150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826150">
        <w:rPr>
          <w:rFonts w:ascii="Times New Roman" w:hAnsi="Times New Roman" w:cs="Times New Roman"/>
          <w:sz w:val="28"/>
          <w:szCs w:val="28"/>
        </w:rPr>
        <w:t>Порядка</w:t>
      </w:r>
      <w:r w:rsidRPr="00826150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826150">
        <w:rPr>
          <w:rFonts w:ascii="Times New Roman" w:hAnsi="Times New Roman" w:cs="Times New Roman"/>
          <w:sz w:val="28"/>
          <w:szCs w:val="28"/>
        </w:rPr>
        <w:t>е</w:t>
      </w:r>
      <w:r w:rsidRPr="00826150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826150" w:rsidRDefault="00CC3A5F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826150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826150">
        <w:rPr>
          <w:rFonts w:ascii="Times New Roman" w:hAnsi="Times New Roman" w:cs="Times New Roman"/>
          <w:sz w:val="28"/>
          <w:szCs w:val="28"/>
        </w:rPr>
        <w:br/>
      </w:r>
      <w:r w:rsidR="00EB24A6" w:rsidRPr="00826150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190EA2D0" w14:textId="77777777" w:rsidR="00826150" w:rsidRPr="00826150" w:rsidRDefault="00826150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8D49C" w14:textId="77777777" w:rsidR="00826150" w:rsidRPr="00826150" w:rsidRDefault="00826150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D487D" w14:textId="4AFADC71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 Копии финансовых отчетов</w:t>
      </w:r>
      <w:r w:rsidR="00CC3A5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826150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8261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826150" w:rsidRDefault="00EB24A6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8261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826150" w:rsidRDefault="00EB24A6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826150" w:rsidRDefault="002530E1" w:rsidP="001F6E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826150" w:rsidRDefault="002530E1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6150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826150" w:rsidRDefault="00A04CDF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826150" w:rsidRDefault="00A04CDF" w:rsidP="001F6E9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826150" w:rsidRDefault="002530E1" w:rsidP="001F6E9C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826150" w:rsidRDefault="00A04CDF" w:rsidP="001F6E9C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(уполномоченного представителя кандидата по финансовым вопросам)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826150" w:rsidRDefault="00A04CDF" w:rsidP="001F6E9C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826150" w:rsidRDefault="002530E1" w:rsidP="001F6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826150">
        <w:rPr>
          <w:rFonts w:ascii="Times New Roman" w:eastAsia="Calibri" w:hAnsi="Times New Roman" w:cs="Times New Roman"/>
          <w:sz w:val="28"/>
          <w:szCs w:val="28"/>
        </w:rPr>
        <w:t>8</w:t>
      </w:r>
      <w:r w:rsidRPr="00826150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826150">
        <w:rPr>
          <w:rFonts w:ascii="Times New Roman" w:eastAsia="Calibri" w:hAnsi="Times New Roman" w:cs="Times New Roman"/>
          <w:sz w:val="28"/>
          <w:szCs w:val="28"/>
        </w:rPr>
        <w:t>е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826150">
        <w:rPr>
          <w:rFonts w:ascii="Times New Roman" w:eastAsia="Calibri" w:hAnsi="Times New Roman" w:cs="Times New Roman"/>
          <w:sz w:val="28"/>
          <w:szCs w:val="28"/>
        </w:rPr>
        <w:t>ы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826150">
        <w:rPr>
          <w:rFonts w:ascii="Times New Roman" w:eastAsia="Calibri" w:hAnsi="Times New Roman" w:cs="Times New Roman"/>
          <w:sz w:val="28"/>
          <w:szCs w:val="28"/>
        </w:rPr>
        <w:t>ю</w:t>
      </w: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826150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826150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8261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826150" w:rsidRDefault="00A04CDF" w:rsidP="001F6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826150" w:rsidRDefault="00180613" w:rsidP="001F6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826150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826150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826150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6C673297" w14:textId="77777777" w:rsidR="00981A76" w:rsidRPr="00826150" w:rsidRDefault="00981A76" w:rsidP="001F6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826150" w:rsidRDefault="0066431A" w:rsidP="001F6E9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150">
        <w:rPr>
          <w:rFonts w:ascii="Times New Roman" w:hAnsi="Times New Roman" w:cs="Times New Roman"/>
          <w:b/>
          <w:bCs/>
          <w:sz w:val="28"/>
          <w:szCs w:val="28"/>
        </w:rPr>
        <w:t>4. Ответственность за нарушение порядка формирования</w:t>
      </w:r>
    </w:p>
    <w:p w14:paraId="175105F1" w14:textId="77777777" w:rsidR="0066431A" w:rsidRPr="00826150" w:rsidRDefault="0066431A" w:rsidP="001F6E9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150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826150" w:rsidRDefault="0066431A" w:rsidP="001F6E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826150" w:rsidRDefault="0066431A" w:rsidP="001F6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826150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826150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826150">
        <w:rPr>
          <w:rFonts w:ascii="Times New Roman" w:hAnsi="Times New Roman" w:cs="Times New Roman"/>
          <w:sz w:val="28"/>
          <w:szCs w:val="28"/>
        </w:rPr>
        <w:t>Порядком</w:t>
      </w:r>
      <w:r w:rsidRPr="00826150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826150" w:rsidRDefault="0066431A" w:rsidP="001F6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826150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826150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26150" w:rsidRDefault="00EE2946" w:rsidP="00854A8C">
      <w:r w:rsidRPr="00826150">
        <w:br w:type="page"/>
      </w:r>
    </w:p>
    <w:p w14:paraId="10906D33" w14:textId="7D30232A" w:rsidR="002530E1" w:rsidRPr="00826150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826150" w:rsidSect="001F6E9C">
          <w:headerReference w:type="default" r:id="rId10"/>
          <w:pgSz w:w="11906" w:h="16838"/>
          <w:pgMar w:top="0" w:right="566" w:bottom="28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826150" w:rsidRPr="00826150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50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01C89442" w:rsidR="002530E1" w:rsidRPr="00826150" w:rsidRDefault="007F0297" w:rsidP="003B7789">
            <w:pPr>
              <w:autoSpaceDE w:val="0"/>
              <w:autoSpaceDN w:val="0"/>
              <w:adjustRightInd w:val="0"/>
              <w:spacing w:after="0" w:line="240" w:lineRule="auto"/>
              <w:ind w:left="601"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3B7789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Санкт-Петербурга поселок Репино</w:t>
            </w:r>
            <w:r w:rsidR="008B3A90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10D3F6DC" w:rsidR="00566F14" w:rsidRPr="00826150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150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0C7FCF" w:rsidRPr="00826150">
        <w:rPr>
          <w:rFonts w:ascii="Times New Roman" w:eastAsia="Calibri" w:hAnsi="Times New Roman" w:cs="Times New Roman"/>
          <w:sz w:val="24"/>
          <w:szCs w:val="24"/>
        </w:rPr>
        <w:t>Муниципального Совета внутригородского муниципального образования Санкт-Петербурга поселок Репино</w:t>
      </w:r>
      <w:r w:rsidR="008B3A90" w:rsidRPr="00826150">
        <w:rPr>
          <w:rFonts w:ascii="Times New Roman" w:eastAsia="Calibri" w:hAnsi="Times New Roman" w:cs="Times New Roman"/>
          <w:sz w:val="24"/>
          <w:szCs w:val="24"/>
        </w:rPr>
        <w:t xml:space="preserve">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826150" w:rsidRPr="00826150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26150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826150" w:rsidRPr="00826150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26150" w:rsidRPr="00826150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26150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826150" w:rsidRPr="00826150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AF0FE49" w:rsidR="002530E1" w:rsidRPr="00826150" w:rsidRDefault="00A04CDF" w:rsidP="00A40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826150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A4062E" w:rsidRPr="00826150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8261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826150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826150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826150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A4062E" w:rsidRPr="00826150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826150" w:rsidRPr="00826150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26150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826150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826150" w:rsidRPr="00826150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826150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82615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826150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826150" w:rsidRPr="00826150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826150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826150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826150" w:rsidRPr="00826150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6150" w:rsidRPr="00826150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826150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826150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826150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826150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826150" w:rsidRPr="00826150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826150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826150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826150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826150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826150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826150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826150" w:rsidRPr="00826150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826150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826150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826150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826150" w:rsidRPr="00826150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6150" w:rsidRPr="00826150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826150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826150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826150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826150" w:rsidRPr="00826150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82615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82615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82615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826150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82615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826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826150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826150" w:rsidRPr="00826150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826150" w:rsidRPr="00826150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26150" w:rsidRPr="00826150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826150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826150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826150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826150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826150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82615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826150" w:rsidRPr="00826150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826150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826150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826150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826150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826150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826150" w:rsidRPr="00826150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826150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826150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26150" w:rsidRPr="00826150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26150" w:rsidRPr="00826150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826150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826150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826150" w:rsidRPr="00826150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150" w:rsidRPr="00826150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826150" w:rsidRDefault="002530E1" w:rsidP="002530E1"/>
    <w:p w14:paraId="1C8B3F2F" w14:textId="77777777" w:rsidR="002530E1" w:rsidRPr="00826150" w:rsidRDefault="002530E1" w:rsidP="002530E1"/>
    <w:p w14:paraId="2503C07F" w14:textId="77777777" w:rsidR="002530E1" w:rsidRPr="00826150" w:rsidRDefault="002530E1" w:rsidP="002530E1"/>
    <w:p w14:paraId="1BFC9A7C" w14:textId="77777777" w:rsidR="002530E1" w:rsidRPr="00826150" w:rsidRDefault="002530E1" w:rsidP="002530E1">
      <w:pPr>
        <w:sectPr w:rsidR="002530E1" w:rsidRPr="00826150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826150" w:rsidRPr="00826150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4F392B83" w:rsidR="005D0101" w:rsidRPr="00826150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0C7FCF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поселок Репино </w:t>
            </w:r>
            <w:r w:rsidR="008B3A90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826150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826150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826150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826150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8261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8261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8261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826150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19FDF9D8" w:rsidR="00566F14" w:rsidRPr="00826150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FC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8B3A90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826150" w:rsidRPr="00826150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26150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826150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826150" w:rsidRPr="00826150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826150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26150" w:rsidRPr="00826150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43167B93" w:rsidR="005D0101" w:rsidRPr="00826150" w:rsidRDefault="002530E1" w:rsidP="00661321">
      <w:pPr>
        <w:pStyle w:val="ad"/>
        <w:rPr>
          <w:b w:val="0"/>
          <w:sz w:val="20"/>
        </w:rPr>
      </w:pPr>
      <w:r w:rsidRPr="00826150">
        <w:rPr>
          <w:b w:val="0"/>
          <w:szCs w:val="22"/>
        </w:rPr>
        <w:t xml:space="preserve">являющийся кандидатом </w:t>
      </w:r>
      <w:r w:rsidR="005D0101" w:rsidRPr="00826150">
        <w:rPr>
          <w:b w:val="0"/>
          <w:szCs w:val="22"/>
        </w:rPr>
        <w:t xml:space="preserve">в депутаты </w:t>
      </w:r>
      <w:r w:rsidR="000C7FCF" w:rsidRPr="00826150">
        <w:rPr>
          <w:b w:val="0"/>
          <w:szCs w:val="22"/>
        </w:rPr>
        <w:t>Муниципального Совета внутригородского муниципального образования Санкт-Петербурга поселок Репино</w:t>
      </w:r>
      <w:r w:rsidR="008B3A90" w:rsidRPr="00826150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826150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826150" w:rsidRPr="00826150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826150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826150" w:rsidRPr="00826150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26150" w:rsidRPr="00826150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826150" w:rsidRPr="00826150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826150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826150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826150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826150" w:rsidRPr="00826150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6150" w:rsidRPr="00826150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826150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826150" w:rsidRDefault="002530E1" w:rsidP="002530E1"/>
    <w:p w14:paraId="3C377018" w14:textId="77777777" w:rsidR="002530E1" w:rsidRPr="00826150" w:rsidRDefault="002530E1" w:rsidP="002530E1"/>
    <w:p w14:paraId="35D40EED" w14:textId="77777777" w:rsidR="002530E1" w:rsidRPr="00826150" w:rsidRDefault="002530E1" w:rsidP="002530E1"/>
    <w:p w14:paraId="234D7B82" w14:textId="77777777" w:rsidR="002530E1" w:rsidRPr="00826150" w:rsidRDefault="002530E1" w:rsidP="002530E1"/>
    <w:p w14:paraId="508F9C27" w14:textId="77777777" w:rsidR="000C7FCF" w:rsidRPr="00826150" w:rsidRDefault="000C7FCF" w:rsidP="002530E1"/>
    <w:p w14:paraId="6E87E2CB" w14:textId="77777777" w:rsidR="002530E1" w:rsidRPr="00826150" w:rsidRDefault="002530E1" w:rsidP="002530E1"/>
    <w:p w14:paraId="6E148B44" w14:textId="77777777" w:rsidR="002530E1" w:rsidRPr="00826150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826150" w:rsidRPr="00826150" w14:paraId="5E1C3299" w14:textId="77777777" w:rsidTr="001A4D92">
        <w:tc>
          <w:tcPr>
            <w:tcW w:w="282" w:type="dxa"/>
          </w:tcPr>
          <w:p w14:paraId="3BCEF845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3CE17E50" w:rsidR="00661321" w:rsidRPr="00826150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right="175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0C7FCF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поселок Репино </w:t>
            </w:r>
            <w:r w:rsidR="00C13CEF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826150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826150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826150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826150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8261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826150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21BFD795" w:rsidR="00566F14" w:rsidRPr="00826150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FC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C13CEF"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826150" w:rsidRPr="00826150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26150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826150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826150" w:rsidRPr="00826150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826150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26150" w:rsidRPr="00826150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</w:t>
      </w:r>
      <w:proofErr w:type="gramEnd"/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826150" w:rsidRPr="00826150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26150" w:rsidRPr="00826150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26150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826150" w:rsidRPr="00826150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42CE060" w:rsidR="00661321" w:rsidRPr="00826150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826150">
              <w:rPr>
                <w:b w:val="0"/>
                <w:szCs w:val="22"/>
              </w:rPr>
              <w:t>являющ</w:t>
            </w:r>
            <w:r w:rsidR="008B2D98" w:rsidRPr="00826150">
              <w:rPr>
                <w:b w:val="0"/>
                <w:szCs w:val="22"/>
              </w:rPr>
              <w:t>егося</w:t>
            </w:r>
            <w:r w:rsidRPr="00826150">
              <w:rPr>
                <w:b w:val="0"/>
                <w:szCs w:val="22"/>
              </w:rPr>
              <w:t xml:space="preserve"> кандидатом в депутаты </w:t>
            </w:r>
            <w:r w:rsidR="000C7FCF" w:rsidRPr="00826150">
              <w:rPr>
                <w:b w:val="0"/>
                <w:szCs w:val="22"/>
              </w:rPr>
              <w:t>Муниципального Совета внутригородского муниципального образования Санкт-Петербурга поселок Репино</w:t>
            </w:r>
            <w:r w:rsidR="00C13CEF" w:rsidRPr="00826150">
              <w:rPr>
                <w:b w:val="0"/>
                <w:szCs w:val="22"/>
              </w:rPr>
              <w:t xml:space="preserve"> седьмого созыва</w:t>
            </w:r>
            <w:r w:rsidR="00107B3B" w:rsidRPr="00826150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826150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826150">
              <w:rPr>
                <w:b w:val="0"/>
                <w:sz w:val="20"/>
              </w:rPr>
              <w:t xml:space="preserve">                           </w:t>
            </w:r>
            <w:r w:rsidR="00C13CEF" w:rsidRPr="00826150">
              <w:rPr>
                <w:b w:val="0"/>
                <w:sz w:val="20"/>
              </w:rPr>
              <w:t xml:space="preserve">                        </w:t>
            </w:r>
            <w:r w:rsidRPr="00826150">
              <w:rPr>
                <w:b w:val="0"/>
                <w:sz w:val="20"/>
              </w:rPr>
              <w:t xml:space="preserve"> </w:t>
            </w:r>
            <w:r w:rsidR="00564C23" w:rsidRPr="00826150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826150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826150" w:rsidRPr="00826150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826150" w:rsidRPr="00826150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826150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0E1" w:rsidRPr="00826150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26150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2615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26150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826150" w:rsidRPr="00826150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826150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82615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826150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826150" w:rsidRPr="00826150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30E1" w:rsidRPr="00826150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826150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826150" w:rsidRDefault="002530E1" w:rsidP="002530E1"/>
    <w:p w14:paraId="19541634" w14:textId="77777777" w:rsidR="002530E1" w:rsidRPr="00826150" w:rsidRDefault="002530E1" w:rsidP="002530E1"/>
    <w:p w14:paraId="49E47553" w14:textId="77777777" w:rsidR="002530E1" w:rsidRPr="00826150" w:rsidRDefault="002530E1" w:rsidP="002530E1"/>
    <w:p w14:paraId="78A8C2C6" w14:textId="77777777" w:rsidR="000C7FCF" w:rsidRPr="00826150" w:rsidRDefault="000C7FCF" w:rsidP="002530E1"/>
    <w:p w14:paraId="54536AF6" w14:textId="77777777" w:rsidR="00F13C73" w:rsidRPr="00826150" w:rsidRDefault="00F13C73" w:rsidP="002530E1"/>
    <w:p w14:paraId="5C75BFFA" w14:textId="77777777" w:rsidR="002530E1" w:rsidRPr="00826150" w:rsidRDefault="002530E1" w:rsidP="002530E1"/>
    <w:p w14:paraId="07972E1C" w14:textId="301FFA93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3B2196D7" w:rsidR="00661321" w:rsidRPr="00826150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0C7FCF"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A027BA"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826150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826150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826150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826150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826150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826150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826150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826150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826150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826150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826150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826150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826150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826150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826150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826150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826150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826150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826150">
        <w:t xml:space="preserve"> </w:t>
      </w:r>
      <w:r w:rsidR="009116BC" w:rsidRPr="00826150">
        <w:br/>
      </w:r>
      <w:r w:rsidR="009116BC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826150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826150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826150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826150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826150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826150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0"/>
        <w:gridCol w:w="5525"/>
      </w:tblGrid>
      <w:tr w:rsidR="00826150" w:rsidRPr="00826150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150" w:rsidRPr="00826150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826150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826150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826150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826150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826150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826150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826150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826150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826150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826150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2A47B31" w14:textId="77777777" w:rsidR="000C7FCF" w:rsidRPr="00826150" w:rsidRDefault="000C7FC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826150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826150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826150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826150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826150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826150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826150" w:rsidRPr="00826150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826150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826150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6150" w:rsidRPr="00826150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826150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436F2C70" w:rsidR="00661321" w:rsidRPr="00826150" w:rsidRDefault="007F0297" w:rsidP="000C7FCF">
            <w:pPr>
              <w:autoSpaceDE w:val="0"/>
              <w:autoSpaceDN w:val="0"/>
              <w:adjustRightInd w:val="0"/>
              <w:spacing w:after="0" w:line="240" w:lineRule="auto"/>
              <w:ind w:right="142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0C7FCF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поселок Репино </w:t>
            </w:r>
            <w:r w:rsidR="00A027BA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826150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826150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6150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82615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826150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826150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826150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826150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6150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2AA67736" w:rsidR="00EC5966" w:rsidRPr="00826150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0C7FCF"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A027BA" w:rsidRPr="008261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743"/>
      </w:tblGrid>
      <w:tr w:rsidR="00826150" w:rsidRPr="00826150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826150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26150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826150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26150" w:rsidRPr="00826150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826150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26150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26150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46B72C73" w:rsidR="008A5553" w:rsidRPr="00826150" w:rsidRDefault="005747BA" w:rsidP="00A40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826150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826150">
              <w:t xml:space="preserve"> </w:t>
            </w:r>
            <w:r w:rsidR="003E6647" w:rsidRPr="00826150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A4062E" w:rsidRPr="00826150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826150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826150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826150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A4062E" w:rsidRPr="00826150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826150" w:rsidRPr="00826150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26150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826150" w:rsidRPr="00826150" w14:paraId="208D6353" w14:textId="77777777" w:rsidTr="00E62274">
        <w:tc>
          <w:tcPr>
            <w:tcW w:w="5000" w:type="pct"/>
          </w:tcPr>
          <w:p w14:paraId="0C5E8127" w14:textId="23D7A68C" w:rsidR="00B27168" w:rsidRPr="00826150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150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82615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826150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82615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826150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826150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39"/>
        <w:gridCol w:w="876"/>
        <w:gridCol w:w="8"/>
        <w:gridCol w:w="1166"/>
        <w:gridCol w:w="874"/>
      </w:tblGrid>
      <w:tr w:rsidR="00826150" w:rsidRPr="00826150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826150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826150">
              <w:rPr>
                <w:sz w:val="20"/>
              </w:rPr>
              <w:t>Строка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финансового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826150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826150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826150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Сумма</w:t>
            </w:r>
            <w:proofErr w:type="spellEnd"/>
            <w:r w:rsidRPr="00826150">
              <w:rPr>
                <w:sz w:val="20"/>
              </w:rPr>
              <w:t>,</w:t>
            </w:r>
            <w:r w:rsidRPr="00826150">
              <w:rPr>
                <w:spacing w:val="-1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руб</w:t>
            </w:r>
            <w:proofErr w:type="spellEnd"/>
            <w:r w:rsidRPr="00826150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826150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Приме</w:t>
            </w:r>
            <w:proofErr w:type="spellEnd"/>
            <w:r w:rsidRPr="00826150">
              <w:rPr>
                <w:sz w:val="20"/>
              </w:rPr>
              <w:t>-</w:t>
            </w:r>
          </w:p>
          <w:p w14:paraId="0E789905" w14:textId="77777777" w:rsidR="005747BA" w:rsidRPr="00826150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чание</w:t>
            </w:r>
            <w:proofErr w:type="spellEnd"/>
          </w:p>
        </w:tc>
      </w:tr>
      <w:tr w:rsidR="00826150" w:rsidRPr="00826150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826150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826150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826150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826150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826150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826150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826150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826150">
              <w:rPr>
                <w:w w:val="99"/>
                <w:sz w:val="20"/>
              </w:rPr>
              <w:t>4</w:t>
            </w:r>
          </w:p>
        </w:tc>
      </w:tr>
      <w:tr w:rsidR="00826150" w:rsidRPr="00826150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26150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>Поступило</w:t>
            </w:r>
            <w:r w:rsidRPr="0082615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средств</w:t>
            </w:r>
            <w:r w:rsidRPr="00826150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в</w:t>
            </w:r>
            <w:r w:rsidRPr="0082615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избирательный</w:t>
            </w:r>
            <w:r w:rsidRPr="00826150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фонд,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826150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26150">
              <w:rPr>
                <w:sz w:val="20"/>
              </w:rPr>
              <w:t>в</w:t>
            </w:r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том</w:t>
            </w:r>
            <w:proofErr w:type="spellEnd"/>
            <w:r w:rsidRPr="00826150">
              <w:rPr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числе</w:t>
            </w:r>
            <w:proofErr w:type="spellEnd"/>
          </w:p>
        </w:tc>
      </w:tr>
      <w:tr w:rsidR="00826150" w:rsidRPr="00826150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826150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826150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из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них</w:t>
            </w:r>
            <w:proofErr w:type="spellEnd"/>
          </w:p>
        </w:tc>
      </w:tr>
      <w:tr w:rsidR="00826150" w:rsidRPr="00826150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Собственные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средства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82615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826150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Добровольные</w:t>
            </w:r>
            <w:proofErr w:type="spellEnd"/>
            <w:r w:rsidRPr="00826150">
              <w:rPr>
                <w:spacing w:val="-3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пожертвования</w:t>
            </w:r>
            <w:proofErr w:type="spellEnd"/>
            <w:r w:rsidRPr="00826150">
              <w:rPr>
                <w:spacing w:val="-4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Добровольные</w:t>
            </w:r>
            <w:proofErr w:type="spellEnd"/>
            <w:r w:rsidRPr="00826150">
              <w:rPr>
                <w:spacing w:val="-3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пожертвования</w:t>
            </w:r>
            <w:proofErr w:type="spellEnd"/>
            <w:r w:rsidRPr="00826150">
              <w:rPr>
                <w:spacing w:val="-4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юридического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826150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826150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826150">
              <w:rPr>
                <w:sz w:val="20"/>
                <w:lang w:val="ru-RU"/>
              </w:rPr>
              <w:br/>
            </w:r>
            <w:r w:rsidRPr="00826150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826150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826150">
              <w:rPr>
                <w:sz w:val="20"/>
                <w:lang w:val="ru-RU"/>
              </w:rPr>
              <w:br/>
              <w:t>от 12.06.2002 № 67-ФЗ</w:t>
            </w:r>
            <w:r w:rsidRPr="00826150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826150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26150" w:rsidRPr="00826150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из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них</w:t>
            </w:r>
          </w:p>
        </w:tc>
      </w:tr>
      <w:tr w:rsidR="00826150" w:rsidRPr="00826150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82615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Собственные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средства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8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826150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826150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826150" w:rsidRPr="00826150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826150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1.2.</w:t>
            </w:r>
            <w:r w:rsidRPr="00826150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Средства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1.2.</w:t>
            </w:r>
            <w:r w:rsidRPr="00826150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Средства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юридического</w:t>
            </w:r>
            <w:proofErr w:type="spellEnd"/>
            <w:r w:rsidRPr="00826150">
              <w:rPr>
                <w:spacing w:val="-1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26150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>Возвращено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денежных</w:t>
            </w:r>
            <w:r w:rsidRPr="0082615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средств</w:t>
            </w:r>
            <w:r w:rsidRPr="00826150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из</w:t>
            </w:r>
            <w:r w:rsidRPr="00826150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избирательного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фонда,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826150">
              <w:rPr>
                <w:b/>
                <w:sz w:val="20"/>
              </w:rPr>
              <w:t>1</w:t>
            </w:r>
            <w:r w:rsidRPr="00826150">
              <w:rPr>
                <w:b/>
                <w:sz w:val="20"/>
                <w:lang w:val="ru-RU"/>
              </w:rPr>
              <w:t>2</w:t>
            </w:r>
            <w:r w:rsidRPr="00826150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26150">
              <w:rPr>
                <w:sz w:val="20"/>
              </w:rPr>
              <w:t>в</w:t>
            </w:r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том</w:t>
            </w:r>
            <w:proofErr w:type="spellEnd"/>
            <w:r w:rsidRPr="00826150">
              <w:rPr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числе</w:t>
            </w:r>
            <w:proofErr w:type="spellEnd"/>
          </w:p>
        </w:tc>
      </w:tr>
      <w:tr w:rsidR="00826150" w:rsidRPr="00826150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Перечислено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в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доход</w:t>
            </w:r>
            <w:r w:rsidRPr="00826150">
              <w:rPr>
                <w:spacing w:val="-3"/>
                <w:sz w:val="20"/>
                <w:lang w:val="ru-RU"/>
              </w:rPr>
              <w:t xml:space="preserve"> местного </w:t>
            </w:r>
            <w:r w:rsidRPr="00826150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3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Возвращено денежных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средств,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поступивших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</w:t>
            </w:r>
            <w:r w:rsidRPr="00826150">
              <w:rPr>
                <w:spacing w:val="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нарушением</w:t>
            </w:r>
            <w:r w:rsidRPr="00826150">
              <w:rPr>
                <w:spacing w:val="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826150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4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826150">
              <w:rPr>
                <w:sz w:val="20"/>
              </w:rPr>
              <w:t>из</w:t>
            </w:r>
            <w:proofErr w:type="spellEnd"/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них</w:t>
            </w:r>
            <w:proofErr w:type="spellEnd"/>
          </w:p>
        </w:tc>
      </w:tr>
      <w:tr w:rsidR="00826150" w:rsidRPr="00826150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826150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826150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826150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5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Юридическим</w:t>
            </w:r>
            <w:r w:rsidRPr="00826150">
              <w:rPr>
                <w:spacing w:val="2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лицам,</w:t>
            </w:r>
            <w:r w:rsidRPr="00826150">
              <w:rPr>
                <w:spacing w:val="27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которым</w:t>
            </w:r>
            <w:r w:rsidRPr="00826150">
              <w:rPr>
                <w:spacing w:val="2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запрещено</w:t>
            </w:r>
            <w:r w:rsidRPr="00826150">
              <w:rPr>
                <w:spacing w:val="2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осуществлять</w:t>
            </w:r>
            <w:r w:rsidRPr="00826150">
              <w:rPr>
                <w:spacing w:val="29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пожертвования либо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не указавшим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обязательные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сведения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pacing w:val="-4"/>
                <w:sz w:val="20"/>
                <w:lang w:val="ru-RU"/>
              </w:rPr>
              <w:br/>
            </w:r>
            <w:r w:rsidRPr="00826150">
              <w:rPr>
                <w:sz w:val="20"/>
                <w:lang w:val="ru-RU"/>
              </w:rPr>
              <w:t>в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платежном</w:t>
            </w:r>
            <w:r w:rsidRPr="00826150">
              <w:rPr>
                <w:spacing w:val="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826150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6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26150" w:rsidRPr="00826150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Средств, поступивших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</w:t>
            </w:r>
            <w:r w:rsidRPr="00826150">
              <w:rPr>
                <w:spacing w:val="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превышением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предельного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7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826150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826150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826150" w:rsidRPr="00826150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Возвращено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денежных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средств,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поступивших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в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установленном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1</w:t>
            </w:r>
            <w:r w:rsidRPr="00826150">
              <w:rPr>
                <w:sz w:val="20"/>
                <w:lang w:val="ru-RU"/>
              </w:rPr>
              <w:t>8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26150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>Израсходовано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средств,</w:t>
            </w:r>
            <w:r w:rsidRPr="00826150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826150">
              <w:rPr>
                <w:b/>
                <w:sz w:val="20"/>
              </w:rPr>
              <w:t>1</w:t>
            </w:r>
            <w:r w:rsidRPr="00826150">
              <w:rPr>
                <w:b/>
                <w:sz w:val="20"/>
                <w:lang w:val="ru-RU"/>
              </w:rPr>
              <w:t>9</w:t>
            </w:r>
            <w:r w:rsidRPr="00826150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826150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26150">
              <w:rPr>
                <w:sz w:val="20"/>
              </w:rPr>
              <w:lastRenderedPageBreak/>
              <w:t>в</w:t>
            </w:r>
            <w:r w:rsidRPr="00826150">
              <w:rPr>
                <w:spacing w:val="-2"/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том</w:t>
            </w:r>
            <w:proofErr w:type="spellEnd"/>
            <w:r w:rsidRPr="00826150">
              <w:rPr>
                <w:sz w:val="20"/>
              </w:rPr>
              <w:t xml:space="preserve"> </w:t>
            </w:r>
            <w:proofErr w:type="spellStart"/>
            <w:r w:rsidRPr="00826150">
              <w:rPr>
                <w:sz w:val="20"/>
              </w:rPr>
              <w:t>числе</w:t>
            </w:r>
            <w:proofErr w:type="spellEnd"/>
          </w:p>
        </w:tc>
      </w:tr>
      <w:tr w:rsidR="00826150" w:rsidRPr="00826150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организацию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сбора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подписей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Из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них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оплату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труда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лиц,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привлекаемых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для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сбора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подписей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1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предвыборную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агитацию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через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организации</w:t>
            </w:r>
            <w:r w:rsidRPr="00826150">
              <w:rPr>
                <w:spacing w:val="-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2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4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предвыборную</w:t>
            </w:r>
            <w:r w:rsidRPr="00826150">
              <w:rPr>
                <w:spacing w:val="4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агитацию</w:t>
            </w:r>
            <w:r w:rsidRPr="00826150">
              <w:rPr>
                <w:spacing w:val="4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через</w:t>
            </w:r>
            <w:r w:rsidRPr="00826150">
              <w:rPr>
                <w:spacing w:val="4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редакции</w:t>
            </w:r>
            <w:r w:rsidRPr="00826150">
              <w:rPr>
                <w:spacing w:val="49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периодических</w:t>
            </w:r>
            <w:r w:rsidRPr="00826150">
              <w:rPr>
                <w:spacing w:val="49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826150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3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826150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4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выпуск и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распространение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печатных, аудиовизуальных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иных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агитационных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5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826150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проведение</w:t>
            </w:r>
            <w:r w:rsidRPr="00826150">
              <w:rPr>
                <w:spacing w:val="-2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публичных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массовых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826150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6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826150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26150" w:rsidRPr="00826150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826150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826150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826150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826150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826150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826150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7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2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оплату</w:t>
            </w:r>
            <w:r w:rsidRPr="00826150">
              <w:rPr>
                <w:spacing w:val="2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других</w:t>
            </w:r>
            <w:r w:rsidRPr="00826150">
              <w:rPr>
                <w:spacing w:val="25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работ</w:t>
            </w:r>
            <w:r w:rsidRPr="00826150">
              <w:rPr>
                <w:spacing w:val="2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(услуг),</w:t>
            </w:r>
            <w:r w:rsidRPr="00826150">
              <w:rPr>
                <w:spacing w:val="27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выполненных</w:t>
            </w:r>
            <w:r w:rsidRPr="00826150">
              <w:rPr>
                <w:spacing w:val="2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(оказанных)</w:t>
            </w:r>
            <w:r w:rsidRPr="00826150">
              <w:rPr>
                <w:spacing w:val="28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юридическими лицами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или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гражданами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России по</w:t>
            </w:r>
            <w:r w:rsidRPr="00826150">
              <w:rPr>
                <w:spacing w:val="-1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826150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8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26150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826150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26150">
              <w:rPr>
                <w:sz w:val="20"/>
                <w:lang w:val="ru-RU"/>
              </w:rPr>
              <w:t>На</w:t>
            </w:r>
            <w:r w:rsidRPr="00826150">
              <w:rPr>
                <w:spacing w:val="3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оплату</w:t>
            </w:r>
            <w:r w:rsidRPr="00826150">
              <w:rPr>
                <w:spacing w:val="34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иных</w:t>
            </w:r>
            <w:r w:rsidRPr="00826150">
              <w:rPr>
                <w:spacing w:val="35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расходов,</w:t>
            </w:r>
            <w:r w:rsidRPr="00826150">
              <w:rPr>
                <w:spacing w:val="3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непосредственно</w:t>
            </w:r>
            <w:r w:rsidRPr="00826150">
              <w:rPr>
                <w:spacing w:val="37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связанных</w:t>
            </w:r>
            <w:r w:rsidRPr="00826150">
              <w:rPr>
                <w:spacing w:val="35"/>
                <w:sz w:val="20"/>
                <w:lang w:val="ru-RU"/>
              </w:rPr>
              <w:t xml:space="preserve"> </w:t>
            </w:r>
            <w:r w:rsidRPr="00826150">
              <w:rPr>
                <w:spacing w:val="35"/>
                <w:sz w:val="20"/>
                <w:lang w:val="ru-RU"/>
              </w:rPr>
              <w:br/>
            </w:r>
            <w:r w:rsidRPr="00826150">
              <w:rPr>
                <w:sz w:val="20"/>
                <w:lang w:val="ru-RU"/>
              </w:rPr>
              <w:t>с</w:t>
            </w:r>
            <w:r w:rsidRPr="00826150">
              <w:rPr>
                <w:spacing w:val="36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проведением избирательной</w:t>
            </w:r>
            <w:r w:rsidRPr="00826150">
              <w:rPr>
                <w:spacing w:val="-3"/>
                <w:sz w:val="20"/>
                <w:lang w:val="ru-RU"/>
              </w:rPr>
              <w:t xml:space="preserve"> </w:t>
            </w:r>
            <w:r w:rsidRPr="00826150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826150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26150">
              <w:rPr>
                <w:sz w:val="20"/>
              </w:rPr>
              <w:t>2</w:t>
            </w:r>
            <w:r w:rsidRPr="00826150">
              <w:rPr>
                <w:sz w:val="20"/>
                <w:lang w:val="ru-RU"/>
              </w:rPr>
              <w:t>9</w:t>
            </w:r>
            <w:r w:rsidRPr="00826150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826150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26150" w:rsidRPr="00826150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826150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826150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826150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826150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826150">
              <w:rPr>
                <w:b/>
                <w:sz w:val="20"/>
                <w:lang w:val="ru-RU"/>
              </w:rPr>
              <w:t>перечисленным в</w:t>
            </w:r>
            <w:r w:rsidRPr="00826150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избирательный</w:t>
            </w:r>
            <w:r w:rsidRPr="00826150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фонд</w:t>
            </w:r>
            <w:r w:rsidRPr="00826150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денежным средствам</w:t>
            </w:r>
            <w:r w:rsidRPr="00826150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826150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26150" w:rsidRPr="00826150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826150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826150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826150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826150">
              <w:rPr>
                <w:b/>
                <w:sz w:val="20"/>
                <w:lang w:val="ru-RU"/>
              </w:rPr>
              <w:t>Остаток</w:t>
            </w:r>
            <w:r w:rsidRPr="00826150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средств</w:t>
            </w:r>
            <w:r w:rsidRPr="00826150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фонда</w:t>
            </w:r>
            <w:r w:rsidRPr="00826150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на</w:t>
            </w:r>
            <w:r w:rsidRPr="00826150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дату</w:t>
            </w:r>
            <w:r w:rsidRPr="00826150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сдачи</w:t>
            </w:r>
            <w:r w:rsidRPr="00826150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отчета</w:t>
            </w:r>
            <w:r w:rsidRPr="00826150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>(заверяется</w:t>
            </w:r>
            <w:r w:rsidRPr="00826150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26150">
              <w:rPr>
                <w:b/>
                <w:sz w:val="20"/>
                <w:lang w:val="ru-RU"/>
              </w:rPr>
              <w:t xml:space="preserve">банковской </w:t>
            </w:r>
            <w:r w:rsidRPr="00826150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826150">
              <w:rPr>
                <w:b/>
                <w:sz w:val="13"/>
                <w:lang w:val="ru-RU"/>
              </w:rPr>
              <w:t>(</w:t>
            </w:r>
            <w:r w:rsidRPr="00826150">
              <w:rPr>
                <w:b/>
                <w:sz w:val="10"/>
                <w:lang w:val="ru-RU"/>
              </w:rPr>
              <w:t>СТР</w:t>
            </w:r>
            <w:r w:rsidRPr="00826150">
              <w:rPr>
                <w:b/>
                <w:sz w:val="13"/>
                <w:lang w:val="ru-RU"/>
              </w:rPr>
              <w:t>.310=</w:t>
            </w:r>
            <w:r w:rsidRPr="00826150">
              <w:rPr>
                <w:b/>
                <w:sz w:val="10"/>
                <w:lang w:val="ru-RU"/>
              </w:rPr>
              <w:t>СТР</w:t>
            </w:r>
            <w:r w:rsidRPr="00826150">
              <w:rPr>
                <w:b/>
                <w:sz w:val="13"/>
                <w:lang w:val="ru-RU"/>
              </w:rPr>
              <w:t>.10-</w:t>
            </w:r>
            <w:r w:rsidRPr="00826150">
              <w:rPr>
                <w:b/>
                <w:sz w:val="10"/>
                <w:lang w:val="ru-RU"/>
              </w:rPr>
              <w:t>СТР</w:t>
            </w:r>
            <w:r w:rsidRPr="00826150">
              <w:rPr>
                <w:b/>
                <w:sz w:val="13"/>
                <w:lang w:val="ru-RU"/>
              </w:rPr>
              <w:t>.120-</w:t>
            </w:r>
            <w:r w:rsidRPr="00826150">
              <w:rPr>
                <w:b/>
                <w:sz w:val="10"/>
                <w:lang w:val="ru-RU"/>
              </w:rPr>
              <w:t>СТР</w:t>
            </w:r>
            <w:r w:rsidRPr="00826150">
              <w:rPr>
                <w:b/>
                <w:sz w:val="13"/>
                <w:lang w:val="ru-RU"/>
              </w:rPr>
              <w:t>.190-</w:t>
            </w:r>
            <w:r w:rsidRPr="00826150">
              <w:rPr>
                <w:b/>
                <w:sz w:val="10"/>
                <w:lang w:val="ru-RU"/>
              </w:rPr>
              <w:t>СТР</w:t>
            </w:r>
            <w:r w:rsidRPr="00826150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826150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826150">
              <w:rPr>
                <w:b/>
                <w:sz w:val="20"/>
              </w:rPr>
              <w:t>3</w:t>
            </w:r>
            <w:r w:rsidRPr="00826150">
              <w:rPr>
                <w:b/>
                <w:sz w:val="20"/>
                <w:lang w:val="ru-RU"/>
              </w:rPr>
              <w:t>1</w:t>
            </w:r>
            <w:r w:rsidRPr="00826150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826150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826150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826150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150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826150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51"/>
        <w:gridCol w:w="1784"/>
        <w:gridCol w:w="329"/>
        <w:gridCol w:w="2791"/>
      </w:tblGrid>
      <w:tr w:rsidR="00826150" w:rsidRPr="00826150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826150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61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826150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826150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826150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150" w:rsidRPr="00826150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826150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26150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26150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26150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826150" w:rsidRDefault="002530E1" w:rsidP="002530E1"/>
    <w:p w14:paraId="296DF153" w14:textId="77777777" w:rsidR="009C286F" w:rsidRPr="00826150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826150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826150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826150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826150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26150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826150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1D1CA8F0" w:rsidR="00286EA5" w:rsidRPr="00826150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0C7FCF"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A027BA" w:rsidRPr="0082615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826150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826150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826150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826150">
        <w:rPr>
          <w:b/>
        </w:rPr>
        <w:t xml:space="preserve"> </w:t>
      </w:r>
    </w:p>
    <w:p w14:paraId="120E9741" w14:textId="6BEDF5E3" w:rsidR="008B2D98" w:rsidRPr="00826150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826150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0C7FCF" w:rsidRPr="00826150">
        <w:rPr>
          <w:rFonts w:ascii="Times New Roman" w:eastAsia="Calibri" w:hAnsi="Times New Roman" w:cs="Times New Roman"/>
          <w:b/>
          <w:sz w:val="28"/>
          <w:szCs w:val="24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A027BA" w:rsidRPr="00826150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36"/>
      </w:tblGrid>
      <w:tr w:rsidR="00826150" w:rsidRPr="00826150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26150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826150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826150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826150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826150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82615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15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826150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50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826150" w:rsidRDefault="002530E1" w:rsidP="002530E1">
      <w:pPr>
        <w:sectPr w:rsidR="002530E1" w:rsidRPr="00826150" w:rsidSect="00A027BA">
          <w:headerReference w:type="default" r:id="rId12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826150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826150">
              <w:rPr>
                <w:rFonts w:ascii="Calibri" w:eastAsia="Calibri" w:hAnsi="Calibri" w:cs="Calibri"/>
              </w:rPr>
              <w:lastRenderedPageBreak/>
              <w:br w:type="page"/>
            </w:r>
            <w:r w:rsidRPr="00826150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27DAE668" w:rsidR="002530E1" w:rsidRPr="00826150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0C7FCF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Санкт-Петербурга поселок Репино </w:t>
            </w:r>
            <w:r w:rsidR="00F13C73" w:rsidRPr="00826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826150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2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826150">
        <w:rPr>
          <w:b/>
        </w:rPr>
        <w:t xml:space="preserve"> </w:t>
      </w:r>
    </w:p>
    <w:p w14:paraId="061AE011" w14:textId="7682EF52" w:rsidR="008B2D98" w:rsidRPr="00826150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0C7FCF"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F13C73" w:rsidRPr="00826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826150" w:rsidRPr="00826150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26150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2615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826150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826150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826150" w:rsidRPr="00826150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826150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826150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26150" w:rsidRPr="00826150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6150" w:rsidRPr="00826150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826150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826150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826150" w:rsidRPr="00826150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826150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826150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826150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826150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826150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826150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826150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26150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261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826150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826150" w:rsidRDefault="002530E1" w:rsidP="002530E1"/>
    <w:sectPr w:rsidR="002530E1" w:rsidRPr="00826150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ACB6B" w14:textId="77777777" w:rsidR="00871568" w:rsidRDefault="00871568" w:rsidP="002530E1">
      <w:pPr>
        <w:spacing w:after="0" w:line="240" w:lineRule="auto"/>
      </w:pPr>
      <w:r>
        <w:separator/>
      </w:r>
    </w:p>
  </w:endnote>
  <w:endnote w:type="continuationSeparator" w:id="0">
    <w:p w14:paraId="171292AB" w14:textId="77777777" w:rsidR="00871568" w:rsidRDefault="00871568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FAA9B" w14:textId="77777777" w:rsidR="00871568" w:rsidRDefault="00871568" w:rsidP="002530E1">
      <w:pPr>
        <w:spacing w:after="0" w:line="240" w:lineRule="auto"/>
      </w:pPr>
      <w:r>
        <w:separator/>
      </w:r>
    </w:p>
  </w:footnote>
  <w:footnote w:type="continuationSeparator" w:id="0">
    <w:p w14:paraId="00519BED" w14:textId="77777777" w:rsidR="00871568" w:rsidRDefault="00871568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843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615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826150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C7FCF"/>
    <w:rsid w:val="000E7173"/>
    <w:rsid w:val="000E7D4B"/>
    <w:rsid w:val="00107B3B"/>
    <w:rsid w:val="001139E5"/>
    <w:rsid w:val="00113DD8"/>
    <w:rsid w:val="001173D4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1F6E9C"/>
    <w:rsid w:val="00216355"/>
    <w:rsid w:val="002305B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B7789"/>
    <w:rsid w:val="003C10AE"/>
    <w:rsid w:val="003C1474"/>
    <w:rsid w:val="003D7B1D"/>
    <w:rsid w:val="003E141C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74C2"/>
    <w:rsid w:val="005E7A29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26150"/>
    <w:rsid w:val="00832FC9"/>
    <w:rsid w:val="00841553"/>
    <w:rsid w:val="008434C3"/>
    <w:rsid w:val="00843FC2"/>
    <w:rsid w:val="008519FA"/>
    <w:rsid w:val="00854A8C"/>
    <w:rsid w:val="00871568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4B9B"/>
    <w:rsid w:val="00902915"/>
    <w:rsid w:val="00902FCB"/>
    <w:rsid w:val="00903D92"/>
    <w:rsid w:val="009116BC"/>
    <w:rsid w:val="00915F54"/>
    <w:rsid w:val="00932E05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499E"/>
    <w:rsid w:val="00A027BA"/>
    <w:rsid w:val="00A03D04"/>
    <w:rsid w:val="00A04CDF"/>
    <w:rsid w:val="00A116DE"/>
    <w:rsid w:val="00A1195A"/>
    <w:rsid w:val="00A25F5B"/>
    <w:rsid w:val="00A376E9"/>
    <w:rsid w:val="00A4062E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1239D"/>
    <w:rsid w:val="00F1275E"/>
    <w:rsid w:val="00F13C73"/>
    <w:rsid w:val="00F155E6"/>
    <w:rsid w:val="00F206CB"/>
    <w:rsid w:val="00F22596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10C3-7C45-421B-A83C-2F5C4B2D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19</Pages>
  <Words>5905</Words>
  <Characters>33662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33</cp:revision>
  <cp:lastPrinted>2024-06-20T12:33:00Z</cp:lastPrinted>
  <dcterms:created xsi:type="dcterms:W3CDTF">2024-06-10T14:06:00Z</dcterms:created>
  <dcterms:modified xsi:type="dcterms:W3CDTF">2024-06-20T12:33:00Z</dcterms:modified>
</cp:coreProperties>
</file>