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00FE4ED3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0F27A5">
        <w:rPr>
          <w:sz w:val="20"/>
        </w:rPr>
        <w:t>от 20 ию</w:t>
      </w:r>
      <w:r w:rsidR="009A0CA4" w:rsidRPr="000F27A5">
        <w:rPr>
          <w:sz w:val="20"/>
        </w:rPr>
        <w:t>н</w:t>
      </w:r>
      <w:r w:rsidRPr="000F27A5">
        <w:rPr>
          <w:sz w:val="20"/>
        </w:rPr>
        <w:t>я 202</w:t>
      </w:r>
      <w:r w:rsidR="009A0CA4" w:rsidRPr="000F27A5">
        <w:rPr>
          <w:sz w:val="20"/>
        </w:rPr>
        <w:t>4</w:t>
      </w:r>
      <w:r w:rsidR="00D43235" w:rsidRPr="000F27A5">
        <w:rPr>
          <w:sz w:val="20"/>
        </w:rPr>
        <w:t xml:space="preserve"> года № </w:t>
      </w:r>
      <w:r w:rsidR="000F27A5" w:rsidRPr="000F27A5">
        <w:rPr>
          <w:sz w:val="20"/>
        </w:rPr>
        <w:t>50-1</w:t>
      </w:r>
      <w:r w:rsidR="00D43235" w:rsidRPr="000F27A5">
        <w:rPr>
          <w:sz w:val="20"/>
        </w:rPr>
        <w:t xml:space="preserve"> </w:t>
      </w:r>
      <w:r w:rsidR="00D43235" w:rsidRPr="000F27A5">
        <w:rPr>
          <w:sz w:val="20"/>
        </w:rPr>
        <w:softHyphen/>
      </w:r>
      <w:r w:rsidR="00D43235" w:rsidRPr="000F27A5">
        <w:rPr>
          <w:sz w:val="20"/>
        </w:rPr>
        <w:softHyphen/>
      </w:r>
      <w:r w:rsidR="00D43235" w:rsidRPr="000F27A5">
        <w:rPr>
          <w:sz w:val="20"/>
        </w:rPr>
        <w:softHyphen/>
      </w:r>
      <w:r w:rsidR="00D43235" w:rsidRPr="000F27A5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29ACB4F8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652227" w:rsidRPr="008F5A5A">
        <w:rPr>
          <w:b/>
        </w:rPr>
        <w:t xml:space="preserve"> </w:t>
      </w:r>
      <w:r w:rsidR="008F5A5A" w:rsidRPr="008F5A5A">
        <w:rPr>
          <w:b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Солнечное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</w:t>
      </w:r>
      <w:bookmarkStart w:id="0" w:name="_GoBack"/>
      <w:bookmarkEnd w:id="0"/>
      <w:r>
        <w:rPr>
          <w:b/>
          <w:spacing w:val="-2"/>
          <w:sz w:val="24"/>
        </w:rPr>
        <w:t>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2C1FF" w14:textId="77777777" w:rsidR="00B51CA5" w:rsidRDefault="00B51CA5">
      <w:r>
        <w:separator/>
      </w:r>
    </w:p>
  </w:endnote>
  <w:endnote w:type="continuationSeparator" w:id="0">
    <w:p w14:paraId="7FC0244D" w14:textId="77777777" w:rsidR="00B51CA5" w:rsidRDefault="00B5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F27A5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F27A5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7A722" w14:textId="77777777" w:rsidR="00B51CA5" w:rsidRDefault="00B51CA5">
      <w:r>
        <w:separator/>
      </w:r>
    </w:p>
  </w:footnote>
  <w:footnote w:type="continuationSeparator" w:id="0">
    <w:p w14:paraId="409ED1F9" w14:textId="77777777" w:rsidR="00B51CA5" w:rsidRDefault="00B51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27A5"/>
    <w:rsid w:val="000F769D"/>
    <w:rsid w:val="001043FE"/>
    <w:rsid w:val="00125BF8"/>
    <w:rsid w:val="00150FC5"/>
    <w:rsid w:val="00154707"/>
    <w:rsid w:val="001742B4"/>
    <w:rsid w:val="002264D6"/>
    <w:rsid w:val="002D4BE9"/>
    <w:rsid w:val="0030184D"/>
    <w:rsid w:val="00366395"/>
    <w:rsid w:val="0036717D"/>
    <w:rsid w:val="00382317"/>
    <w:rsid w:val="003D1753"/>
    <w:rsid w:val="00414206"/>
    <w:rsid w:val="00453893"/>
    <w:rsid w:val="00460C53"/>
    <w:rsid w:val="00544F2F"/>
    <w:rsid w:val="00583443"/>
    <w:rsid w:val="005B0EC6"/>
    <w:rsid w:val="005D2381"/>
    <w:rsid w:val="00643B7A"/>
    <w:rsid w:val="00652227"/>
    <w:rsid w:val="00655728"/>
    <w:rsid w:val="006C32A4"/>
    <w:rsid w:val="00707056"/>
    <w:rsid w:val="00776714"/>
    <w:rsid w:val="0078401D"/>
    <w:rsid w:val="008D27D0"/>
    <w:rsid w:val="008F5A5A"/>
    <w:rsid w:val="00967A94"/>
    <w:rsid w:val="00985CE8"/>
    <w:rsid w:val="00991B71"/>
    <w:rsid w:val="009A0CA4"/>
    <w:rsid w:val="009C4B70"/>
    <w:rsid w:val="00A5756F"/>
    <w:rsid w:val="00AB3088"/>
    <w:rsid w:val="00B00361"/>
    <w:rsid w:val="00B366AC"/>
    <w:rsid w:val="00B51CA5"/>
    <w:rsid w:val="00B7284A"/>
    <w:rsid w:val="00B83785"/>
    <w:rsid w:val="00BE2570"/>
    <w:rsid w:val="00C05A2D"/>
    <w:rsid w:val="00C1329C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1ABB6EA8-AF56-408B-916D-E0357969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E2316-EC66-4927-A515-6E29FB96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4854</Words>
  <Characters>27673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8</cp:revision>
  <cp:lastPrinted>2024-03-28T13:10:00Z</cp:lastPrinted>
  <dcterms:created xsi:type="dcterms:W3CDTF">2024-06-19T05:43:00Z</dcterms:created>
  <dcterms:modified xsi:type="dcterms:W3CDTF">2024-06-19T08:50:00Z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